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5"/>
          <w:rFonts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5"/>
          <w:rFonts w:hint="eastAsia" w:ascii="华文中宋" w:hAnsi="华文中宋" w:eastAsia="华文中宋" w:cs="华文中宋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、采购需求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（以下采购需求部分由采购人：宣城市宣州区文昌镇人民政府提供并负责解释）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项目概况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1、项目名称：宣城市宣州区文昌镇2024至2025年度乡村公路养护项目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2、项目预算：15万元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是否分包：不分包。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二、服务需求一览表及主要指标参数要求</w:t>
      </w:r>
      <w:r>
        <w:rPr>
          <w:rFonts w:hint="eastAsia" w:ascii="仿宋" w:hAnsi="仿宋" w:eastAsia="仿宋" w:cs="仿宋"/>
          <w:b/>
          <w:bCs w:val="0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）★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供应商要设立养护机构，明确养护人员和养护管理人员职责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1、建立安全生产管理制度并做到制度落实，道路养护期间发生的安全事故由供应商负全责。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2、做好养护人员的人身保障工作；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3、制定道路养护计划并组织实施。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）★养护内容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道路养护总里程约50公里，实际养护里程以壹年养护期满审计为准（具体道路见采购需求）；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1）路肩上杂草和道路两边的绿化树木、花卉要长期清理、修剪，清理的杂草和杂枝要及时清扫，杂枝运离现场。清理杂草到路肩边，路肩播撒了白日菊的，以白日菊边为准路肩再清理杂草。道路洒落石子、淤泥及其他物体及时清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（2）文溪路、文川路、文和路、文沿路、贾公路杂草要清理到路肩边。文溪路、文川路两边废弃、乱丢秸秆要清理干净。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（3）文溪路有三个绿化景点要做好日常养护，同时对所有养护道路上白日菊有缺失的要及时补撒花种。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3、供应商要做好道路巡查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（1）发现占用和破坏道路、污染道路等违法行为要立即制止，影响交通安全要设置警示标志并报告采购人和所属村委会。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（2）保持标志标牌整洁、齐全、设置醒目，无倾斜，供应商要做到道路巡查常态化，清理影响交通安全的脱落横幅、沙石等障碍物。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3）雨雪天供应商要安排人员对道路低洼处积水、积雪及时清理，灾害性天气时要及时开展道路巡查，清理影响交通安全的障碍物。现场隐患不能立即解决的地方要设置警示标志，保障交通安全，并报告采购人和所属村委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（4）做好道路上桥梁的巡查，其中包括李家渡桥和滩头桥。做到桥面无积水，涵洞不堵塞，桥头（涵顶）不出现跳车严重影响行车安全。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）检查和考核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1、采购人和道路所属村委会不定期对道路养护进行检查验收，检查中发现道路杂草清理不及时不平整，绿化树木、花卉修剪不齐清运不干净，每公里扣供应商人民币100元。供应商并立即进行整改，再经原现场检查人员签字认可验收通过，道路杂草清理后包括路边淤泥清理干净，每100米没清理扣100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2、道路上有沙石和其他有碍交通安全的杂物、淤泥没有及时清扫干净，发现一处扣人民币100元。道路有安全隐患，没设置警示标志，低洼处积水、积雪未清扫，发现一次扣200元。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3、没有设立安全生产制度和制定养护计划扣1000元。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4、宣州区交通运输局开展道路养护检查（定时和不定时），查出的问题供应商要立即整改，若造成扣罚的养护经费由供应商承担。</w:t>
      </w:r>
    </w:p>
    <w:p>
      <w:pP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3"/>
        <w:tblW w:w="5000" w:type="pct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74"/>
        <w:gridCol w:w="1204"/>
        <w:gridCol w:w="1441"/>
        <w:gridCol w:w="5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文昌镇农村道路养护里程明细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路名</w:t>
            </w:r>
          </w:p>
        </w:tc>
        <w:tc>
          <w:tcPr>
            <w:tcW w:w="12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宽度（米）</w:t>
            </w:r>
          </w:p>
        </w:tc>
        <w:tc>
          <w:tcPr>
            <w:tcW w:w="14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长度（公里）</w:t>
            </w:r>
          </w:p>
        </w:tc>
        <w:tc>
          <w:tcPr>
            <w:tcW w:w="5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文溪路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318国道交叉口--杨柳双乐村交界处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伏门路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蓓蕾幼儿园--伏门顾海清门口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鸡山路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文川路福川村团结路口--何良民房屋、鸡山水库段、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胡村路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胡村与文川路交叉口---进胡村口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文川路福川段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福川胡村与文川路十字路口-福川金锹岭中州交界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下汪路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福川郑村路与下汪路交叉口--下汪村小桥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白马路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平田桥--罗山路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施田路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平田桥---文川路施田村部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文新路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5--3.5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平田桥--平田村外，拓宽0.53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丁山路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丁山村民组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曹冲路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长冲路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杨冲路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白马---杨冲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罗山路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罗山组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施田外滩路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文溪路外滩路交叉口--施田泵站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施田刘村路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文溪路进刘村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施田董塘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文溪路进董塘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贾公路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文昌小学--小河马村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文岭路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政府东-老318国道现文昌南路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新滩路1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文昌南路交叉口-小和马路交叉口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小河马路西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0.55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明柯铸造旁东面--小河马村埂头交叉口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小河马路东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老318---新318埂头上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洲上路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文昌银行北面马路往北到底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工业干道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0.65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老318--新318（嘉乐服装厂西面）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油墩1路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文和路与油墩1路交叉口--村内带锯厂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油墩2路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318国道与油墩2路交叉口进村-圩堤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文和路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318文和路路口--和洲村部旁岭丰、东梅交界路口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新滩路2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东岭新大桥往和洲第一西出口到原老新滩村部埂上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团结路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0.15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文和路团结路交叉口---进村口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上门1路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文和路与上门1路交叉口进村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上门2路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文和路右转处与上门2路交叉口到圩堤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陈村2路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文和路和陈村2路交叉口进村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陈村3路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0.13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文和路与陈村3路交叉口进村，（烟炕旁）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陈村4路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文和路与陈村4路交叉口进村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河边路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文和路与河边路交叉口进村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方村1路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文和路与方村1路交叉口进方村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方村2路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文和路与方村2路交叉口进方村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东梅路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和洲村部旁进东梅村庄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岭丰1路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和洲村部--滩头村民组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岭丰2路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岭丰1路交叉口到六甲梅美凤家附近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文沿路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老318加油站--南庄路口（全程）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杨滩路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文沿路南庄路口--杨滩水泥硬化路结束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陶村路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进陶村水泥硬化结束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太湖路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1.65</w:t>
            </w:r>
          </w:p>
        </w:tc>
        <w:tc>
          <w:tcPr>
            <w:tcW w:w="5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太湖变压器--寒亭老318国道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小湖路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小湖两座狮子处入口--小湖村水泥硬化路结束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南庄路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4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8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文沿路南庄入口---南庄队结束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530" w:type="dxa"/>
            <w:gridSpan w:val="2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48.87</w:t>
            </w:r>
          </w:p>
        </w:tc>
      </w:tr>
    </w:tbl>
    <w:p>
      <w:pPr>
        <w:spacing w:line="440" w:lineRule="exact"/>
        <w:ind w:firstLine="482" w:firstLineChars="200"/>
        <w:rPr>
          <w:rFonts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三、供应商资格要求: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1.具有独立法人资格，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市政公用工程施工总承包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叁级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及以上资质或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公路工程施工总承包叁级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及以上资质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有效的安全生产许可证。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项目负责人须具备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市政公用工程专业或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公路工程专业二级及以上建造师资格且在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单位注册或具备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工程类相关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专业中级及以上职称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440" w:lineRule="exact"/>
        <w:ind w:firstLine="482" w:firstLineChars="200"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供应商必须提交的资格证明文件：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1、营业执照副本（复印件加盖供应商公章）；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2、资质证书、安全生产许可证、项目负责人等相关证明文件（复印件加盖供应商公章）；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3、授权委托书（按规定格式）。</w:t>
      </w:r>
    </w:p>
    <w:p>
      <w:pPr>
        <w:spacing w:line="440" w:lineRule="exact"/>
        <w:ind w:firstLine="482" w:firstLineChars="200"/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五、合同主要条款：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1、付款方式：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在合同期内组织村委会对道路养护检查验收不低于5次，日常检查必须无条件服从进行道路养护。道路养护总金额以检查发现的问题按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合同约定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扣除，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结算审核结束支付至审定价款的100%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2、履约保证金：无。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3、合同争议处理：</w:t>
      </w: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采购合同在履行过程中发生的争议，由双方当事人协商解决，协商解决不成的，向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宣州区</w:t>
      </w: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人民法院起诉。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482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六、合同履行期限：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一年。在预算保障的情况下，经考核满足采购人工作要求，可续签下一年合同，续签不超过两年，合同一年一签，服务价格不变。</w:t>
      </w:r>
    </w:p>
    <w:p>
      <w:pPr>
        <w:spacing w:line="440" w:lineRule="exact"/>
        <w:ind w:firstLine="482" w:firstLineChars="200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七、</w:t>
      </w:r>
      <w:r>
        <w:rPr>
          <w:rFonts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商检、计量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包含在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成交</w:t>
      </w: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总价中，由成交供应商承担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82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八、验收：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符合采购人要求及国家和地区行业现行标准的相关要求</w:t>
      </w: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40" w:lineRule="exact"/>
        <w:ind w:firstLine="482" w:firstLineChars="200"/>
        <w:rPr>
          <w:rFonts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九、其他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要求：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1、供应商的报价包括但不限于人员工资、管理费、办公费、设备使用费、交通费、通讯费、税金、利润、劳动保险费、合同工期内的风险费用等为完成本次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项目所发生的一切费用。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成交</w:t>
      </w: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人自行解决员工养老、失业、医疗、工伤、生育、纳税等保险及劳保、工资、福利、食宿、员工上下班交通及为完成本项目服务所发生的一切应有费用，采购人不再支付报价以外的任何其他费用。 </w:t>
      </w:r>
    </w:p>
    <w:p>
      <w:pPr>
        <w:spacing w:line="440" w:lineRule="exact"/>
        <w:ind w:firstLine="480" w:firstLineChars="20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kern w:val="0"/>
          <w:sz w:val="24"/>
          <w:szCs w:val="24"/>
          <w:highlight w:val="none"/>
          <w:lang w:val="zh-CN"/>
          <w14:textFill>
            <w14:solidFill>
              <w14:schemeClr w14:val="tx1"/>
            </w14:solidFill>
          </w14:textFill>
        </w:rPr>
        <w:t>、本项目在实施过程中，供应商必须保证安全生产，完善人身安全保险，所产生的一切费用及责任等由供应商自行承担。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ZGQwNjhmNDk5NmYwYTU5NjY1ZmUwYTMwYzBlNjgifQ=="/>
  </w:docVars>
  <w:rsids>
    <w:rsidRoot w:val="00000000"/>
    <w:rsid w:val="672A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  <w:style w:type="paragraph" w:customStyle="1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2024-01-29T09:07:07Z</dcterms:created>
  <dc:creator>Administrator.C-202303231032F</dc:creator>
  <cp:lastModifiedBy>zuoqisheng</cp:lastModifiedBy>
  <dcterms:modified xsi:type="dcterms:W3CDTF">2024-01-29T09:07:11Z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7EAC580A2F2B4F27BFEEC3078C419994_12</vt:lpwstr>
  </property>
</Properties>
</file>